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0" w:right="98" w:firstLine="0"/>
        <w:jc w:val="right"/>
      </w:pPr>
      <w:r>
        <w:rPr/>
        <w:t>ADOPTED – OCTOBER 27,</w:t>
      </w:r>
      <w:r>
        <w:rPr>
          <w:spacing w:val="-8"/>
        </w:rPr>
        <w:t> </w:t>
      </w:r>
      <w:r>
        <w:rPr/>
        <w:t>2026</w:t>
      </w:r>
    </w:p>
    <w:p>
      <w:pPr>
        <w:spacing w:before="0"/>
        <w:ind w:left="0" w:right="100" w:firstLine="0"/>
        <w:jc w:val="right"/>
        <w:rPr>
          <w:b/>
          <w:sz w:val="24"/>
        </w:rPr>
      </w:pPr>
      <w:r>
        <w:rPr>
          <w:b/>
          <w:sz w:val="24"/>
        </w:rPr>
        <w:t>AGENDA ITEM NO.</w:t>
      </w:r>
      <w:r>
        <w:rPr>
          <w:b/>
          <w:spacing w:val="-8"/>
          <w:sz w:val="24"/>
        </w:rPr>
        <w:t> </w:t>
      </w:r>
      <w:r>
        <w:rPr>
          <w:b/>
          <w:sz w:val="24"/>
        </w:rPr>
        <w:t>4</w:t>
      </w:r>
    </w:p>
    <w:p>
      <w:pPr>
        <w:pStyle w:val="BodyText"/>
        <w:spacing w:before="2"/>
        <w:rPr>
          <w:b/>
          <w:sz w:val="16"/>
        </w:rPr>
      </w:pPr>
    </w:p>
    <w:p>
      <w:pPr>
        <w:pStyle w:val="BodyText"/>
        <w:spacing w:before="90"/>
        <w:ind w:left="120"/>
      </w:pPr>
      <w:r>
        <w:rPr/>
        <w:t>Introduced by the County Services Committee of the:</w:t>
      </w:r>
    </w:p>
    <w:p>
      <w:pPr>
        <w:pStyle w:val="BodyText"/>
        <w:spacing w:before="5"/>
      </w:pPr>
    </w:p>
    <w:p>
      <w:pPr>
        <w:pStyle w:val="BodyText"/>
        <w:ind w:left="1135" w:right="1119"/>
        <w:jc w:val="center"/>
      </w:pPr>
      <w:r>
        <w:rPr/>
        <w:t>INGHAM COUNTY BOARD OF COMMISSIONERS</w:t>
      </w:r>
    </w:p>
    <w:p>
      <w:pPr>
        <w:pStyle w:val="BodyText"/>
      </w:pPr>
    </w:p>
    <w:p>
      <w:pPr>
        <w:pStyle w:val="Heading1"/>
        <w:spacing w:line="480" w:lineRule="auto"/>
        <w:ind w:left="1138" w:right="1119" w:firstLine="0"/>
        <w:jc w:val="center"/>
      </w:pPr>
      <w:r>
        <w:rPr/>
        <w:t>RESOLUTION TO AMEND THE DISPOSAL OF SURPLUS PROPERTY POLICY RESOLUTION #26 – 516</w:t>
      </w:r>
    </w:p>
    <w:p>
      <w:pPr>
        <w:pStyle w:val="BodyText"/>
        <w:rPr>
          <w:b/>
        </w:rPr>
      </w:pPr>
    </w:p>
    <w:p>
      <w:pPr>
        <w:pStyle w:val="BodyText"/>
        <w:ind w:left="120" w:right="655"/>
      </w:pPr>
      <w:r>
        <w:rPr/>
        <w:t>WHEREAS, the Health in all Policies (HIAP) Committee regularly reviews existing policies and proposes updates and modifications; and</w:t>
      </w:r>
    </w:p>
    <w:p>
      <w:pPr>
        <w:pStyle w:val="BodyText"/>
      </w:pPr>
    </w:p>
    <w:p>
      <w:pPr>
        <w:pStyle w:val="BodyText"/>
        <w:spacing w:line="480" w:lineRule="auto"/>
        <w:ind w:left="120" w:right="308"/>
      </w:pPr>
      <w:r>
        <w:rPr/>
        <w:t>WHEREAS, the HIAP Committee reviewed the Disposal of Surplus Property at its August 2026 meeting; and WHEREAS, the HIAP Committee recommends the following changes:</w:t>
      </w:r>
    </w:p>
    <w:p>
      <w:pPr>
        <w:pStyle w:val="ListParagraph"/>
        <w:numPr>
          <w:ilvl w:val="0"/>
          <w:numId w:val="1"/>
        </w:numPr>
        <w:tabs>
          <w:tab w:pos="899" w:val="left" w:leader="none"/>
          <w:tab w:pos="900" w:val="left" w:leader="none"/>
        </w:tabs>
        <w:spacing w:line="242" w:lineRule="auto" w:before="0" w:after="0"/>
        <w:ind w:left="900" w:right="112" w:hanging="360"/>
        <w:jc w:val="left"/>
        <w:rPr>
          <w:sz w:val="24"/>
        </w:rPr>
      </w:pPr>
      <w:r>
        <w:rPr>
          <w:sz w:val="24"/>
        </w:rPr>
        <w:t>Section F. Procedures, 1. Determination, i. – add “If such items are electronics, the IT Department shall be consulted before any action by the Purchasing Department can be taken” after the first</w:t>
      </w:r>
      <w:r>
        <w:rPr>
          <w:spacing w:val="-21"/>
          <w:sz w:val="24"/>
        </w:rPr>
        <w:t> </w:t>
      </w:r>
      <w:r>
        <w:rPr>
          <w:sz w:val="24"/>
        </w:rPr>
        <w:t>sentence.</w:t>
      </w:r>
    </w:p>
    <w:p>
      <w:pPr>
        <w:pStyle w:val="ListParagraph"/>
        <w:numPr>
          <w:ilvl w:val="0"/>
          <w:numId w:val="1"/>
        </w:numPr>
        <w:tabs>
          <w:tab w:pos="899" w:val="left" w:leader="none"/>
          <w:tab w:pos="900" w:val="left" w:leader="none"/>
        </w:tabs>
        <w:spacing w:line="240" w:lineRule="auto" w:before="0" w:after="0"/>
        <w:ind w:left="900" w:right="330" w:hanging="360"/>
        <w:jc w:val="left"/>
        <w:rPr>
          <w:sz w:val="24"/>
        </w:rPr>
      </w:pPr>
      <w:r>
        <w:rPr>
          <w:sz w:val="24"/>
        </w:rPr>
        <w:t>Section F. Procedures, 1. Determination, ii. – add “Finance Committee, and Board of Commissioners for their approvals” after County Services</w:t>
      </w:r>
      <w:r>
        <w:rPr>
          <w:spacing w:val="-8"/>
          <w:sz w:val="24"/>
        </w:rPr>
        <w:t> </w:t>
      </w:r>
      <w:r>
        <w:rPr>
          <w:sz w:val="24"/>
        </w:rPr>
        <w:t>Committee.</w:t>
      </w:r>
    </w:p>
    <w:p>
      <w:pPr>
        <w:pStyle w:val="ListParagraph"/>
        <w:numPr>
          <w:ilvl w:val="0"/>
          <w:numId w:val="1"/>
        </w:numPr>
        <w:tabs>
          <w:tab w:pos="899" w:val="left" w:leader="none"/>
          <w:tab w:pos="900" w:val="left" w:leader="none"/>
        </w:tabs>
        <w:spacing w:line="240" w:lineRule="auto" w:before="0" w:after="0"/>
        <w:ind w:left="899" w:right="120" w:hanging="360"/>
        <w:jc w:val="left"/>
        <w:rPr>
          <w:sz w:val="24"/>
        </w:rPr>
      </w:pPr>
      <w:r>
        <w:rPr>
          <w:sz w:val="24"/>
        </w:rPr>
        <w:t>Section F. Procedures, 2. Valuation, i. – replace “certification” with “statement”, “in consultation with” with “by” and add “or their designee(s)” after</w:t>
      </w:r>
      <w:r>
        <w:rPr>
          <w:spacing w:val="1"/>
          <w:sz w:val="24"/>
        </w:rPr>
        <w:t> </w:t>
      </w:r>
      <w:r>
        <w:rPr>
          <w:sz w:val="24"/>
        </w:rPr>
        <w:t>“etc,.”</w:t>
      </w:r>
    </w:p>
    <w:p>
      <w:pPr>
        <w:pStyle w:val="ListParagraph"/>
        <w:numPr>
          <w:ilvl w:val="0"/>
          <w:numId w:val="1"/>
        </w:numPr>
        <w:tabs>
          <w:tab w:pos="959" w:val="left" w:leader="none"/>
          <w:tab w:pos="960" w:val="left" w:leader="none"/>
        </w:tabs>
        <w:spacing w:line="240" w:lineRule="auto" w:before="0" w:after="0"/>
        <w:ind w:left="899" w:right="456" w:hanging="360"/>
        <w:jc w:val="left"/>
        <w:rPr>
          <w:sz w:val="24"/>
        </w:rPr>
      </w:pPr>
      <w:r>
        <w:rPr/>
        <w:tab/>
      </w:r>
      <w:r>
        <w:rPr>
          <w:sz w:val="24"/>
        </w:rPr>
        <w:t>Section F. Procedures, 2. Valuation, ii. – replace “The market value of an item sold” with “A list of proposed items for” and replace “County Services Committee” with “Board of</w:t>
      </w:r>
      <w:r>
        <w:rPr>
          <w:spacing w:val="-14"/>
          <w:sz w:val="24"/>
        </w:rPr>
        <w:t> </w:t>
      </w:r>
      <w:r>
        <w:rPr>
          <w:sz w:val="24"/>
        </w:rPr>
        <w:t>Commissioners”.</w:t>
      </w:r>
    </w:p>
    <w:p>
      <w:pPr>
        <w:pStyle w:val="ListParagraph"/>
        <w:numPr>
          <w:ilvl w:val="0"/>
          <w:numId w:val="1"/>
        </w:numPr>
        <w:tabs>
          <w:tab w:pos="899" w:val="left" w:leader="none"/>
          <w:tab w:pos="900" w:val="left" w:leader="none"/>
        </w:tabs>
        <w:spacing w:line="240" w:lineRule="auto" w:before="0" w:after="0"/>
        <w:ind w:left="899" w:right="628" w:hanging="360"/>
        <w:jc w:val="left"/>
        <w:rPr>
          <w:sz w:val="24"/>
        </w:rPr>
      </w:pPr>
      <w:r>
        <w:rPr>
          <w:sz w:val="24"/>
        </w:rPr>
        <w:t>Section F. Procedures, 3 Public Auction – remove “criteria for the direct sale of individual</w:t>
      </w:r>
      <w:r>
        <w:rPr>
          <w:spacing w:val="-22"/>
          <w:sz w:val="24"/>
        </w:rPr>
        <w:t> </w:t>
      </w:r>
      <w:r>
        <w:rPr>
          <w:sz w:val="24"/>
        </w:rPr>
        <w:t>surplus County owned personal property shall be as follows” and the corresponding</w:t>
      </w:r>
      <w:r>
        <w:rPr>
          <w:spacing w:val="-14"/>
          <w:sz w:val="24"/>
        </w:rPr>
        <w:t> </w:t>
      </w:r>
      <w:r>
        <w:rPr>
          <w:sz w:val="24"/>
        </w:rPr>
        <w:t>table.</w:t>
      </w:r>
    </w:p>
    <w:p>
      <w:pPr>
        <w:pStyle w:val="ListParagraph"/>
        <w:numPr>
          <w:ilvl w:val="0"/>
          <w:numId w:val="1"/>
        </w:numPr>
        <w:tabs>
          <w:tab w:pos="899" w:val="left" w:leader="none"/>
          <w:tab w:pos="900" w:val="left" w:leader="none"/>
        </w:tabs>
        <w:spacing w:line="240" w:lineRule="auto" w:before="0" w:after="0"/>
        <w:ind w:left="899" w:right="374" w:hanging="360"/>
        <w:jc w:val="left"/>
        <w:rPr>
          <w:sz w:val="24"/>
        </w:rPr>
      </w:pPr>
      <w:r>
        <w:rPr>
          <w:sz w:val="24"/>
        </w:rPr>
        <w:t>Section 4. Procedures, 4. Unsold Surplus Equipment – add “if applicable” after County in iii, and</w:t>
      </w:r>
      <w:r>
        <w:rPr>
          <w:spacing w:val="-20"/>
          <w:sz w:val="24"/>
        </w:rPr>
        <w:t> </w:t>
      </w:r>
      <w:r>
        <w:rPr>
          <w:sz w:val="24"/>
        </w:rPr>
        <w:t>add “iv. Purchasing Director shall coordinate the disposal of all other unsold</w:t>
      </w:r>
      <w:r>
        <w:rPr>
          <w:spacing w:val="-9"/>
          <w:sz w:val="24"/>
        </w:rPr>
        <w:t> </w:t>
      </w:r>
      <w:r>
        <w:rPr>
          <w:sz w:val="24"/>
        </w:rPr>
        <w:t>items.”</w:t>
      </w:r>
    </w:p>
    <w:p>
      <w:pPr>
        <w:pStyle w:val="BodyText"/>
        <w:spacing w:before="10"/>
        <w:rPr>
          <w:sz w:val="22"/>
        </w:rPr>
      </w:pPr>
    </w:p>
    <w:p>
      <w:pPr>
        <w:pStyle w:val="BodyText"/>
        <w:ind w:left="119" w:right="443"/>
      </w:pPr>
      <w:r>
        <w:rPr/>
        <w:t>WHEREAS, the attached Disposal of Surplus Property Policy reflects the amendments to the policy in strike out and bold format.</w:t>
      </w:r>
    </w:p>
    <w:p>
      <w:pPr>
        <w:pStyle w:val="BodyText"/>
      </w:pPr>
    </w:p>
    <w:p>
      <w:pPr>
        <w:pStyle w:val="BodyText"/>
        <w:ind w:left="119" w:right="289"/>
      </w:pPr>
      <w:r>
        <w:rPr/>
        <w:t>THEREFORE BE IT RESOLVED, that the Ingham Board of Commissioners approves the amendments to the Surplus Property Policy, which will take effect upon the adoption of this resolution.</w:t>
      </w:r>
    </w:p>
    <w:p>
      <w:pPr>
        <w:pStyle w:val="BodyText"/>
        <w:spacing w:before="5"/>
      </w:pPr>
    </w:p>
    <w:p>
      <w:pPr>
        <w:pStyle w:val="BodyText"/>
        <w:ind w:left="120"/>
      </w:pPr>
      <w:r>
        <w:rPr/>
        <w:t>BE IT FURTHER RESOLVED, that this policy shall be applicable to all departments of Ingham County and Elected Officials and the Courts that choose to participate.</w:t>
      </w:r>
    </w:p>
    <w:p>
      <w:pPr>
        <w:pStyle w:val="BodyText"/>
        <w:spacing w:before="5"/>
      </w:pPr>
    </w:p>
    <w:p>
      <w:pPr>
        <w:spacing w:before="0"/>
        <w:ind w:left="120" w:right="0" w:firstLine="0"/>
        <w:jc w:val="left"/>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spacing w:after="0"/>
        <w:jc w:val="left"/>
        <w:rPr>
          <w:sz w:val="24"/>
        </w:rPr>
        <w:sectPr>
          <w:type w:val="continuous"/>
          <w:pgSz w:w="12240" w:h="15840"/>
          <w:pgMar w:top="1360" w:bottom="280" w:left="600" w:right="620"/>
        </w:sect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46"/>
        <w:gridCol w:w="3504"/>
      </w:tblGrid>
      <w:tr>
        <w:trPr>
          <w:trHeight w:val="287" w:hRule="atLeast"/>
        </w:trPr>
        <w:tc>
          <w:tcPr>
            <w:tcW w:w="5846" w:type="dxa"/>
          </w:tcPr>
          <w:p>
            <w:pPr>
              <w:pStyle w:val="TableParagraph"/>
              <w:rPr>
                <w:sz w:val="24"/>
              </w:rPr>
            </w:pPr>
            <w:r>
              <w:rPr>
                <w:b/>
                <w:sz w:val="24"/>
              </w:rPr>
              <w:t>Title: </w:t>
            </w:r>
            <w:r>
              <w:rPr>
                <w:sz w:val="24"/>
              </w:rPr>
              <w:t>Disposal of Surplus Property</w:t>
            </w:r>
          </w:p>
        </w:tc>
        <w:tc>
          <w:tcPr>
            <w:tcW w:w="3504" w:type="dxa"/>
          </w:tcPr>
          <w:p>
            <w:pPr>
              <w:pStyle w:val="TableParagraph"/>
              <w:ind w:left="105"/>
              <w:rPr>
                <w:sz w:val="24"/>
              </w:rPr>
            </w:pPr>
            <w:r>
              <w:rPr>
                <w:b/>
                <w:sz w:val="24"/>
              </w:rPr>
              <w:t>Policy #: </w:t>
            </w:r>
            <w:r>
              <w:rPr>
                <w:sz w:val="24"/>
              </w:rPr>
              <w:t>415</w:t>
            </w:r>
          </w:p>
        </w:tc>
      </w:tr>
      <w:tr>
        <w:trPr>
          <w:trHeight w:val="287" w:hRule="atLeast"/>
        </w:trPr>
        <w:tc>
          <w:tcPr>
            <w:tcW w:w="9350" w:type="dxa"/>
            <w:gridSpan w:val="2"/>
          </w:tcPr>
          <w:p>
            <w:pPr>
              <w:pStyle w:val="TableParagraph"/>
              <w:rPr>
                <w:sz w:val="24"/>
              </w:rPr>
            </w:pPr>
            <w:r>
              <w:rPr>
                <w:b/>
                <w:sz w:val="24"/>
              </w:rPr>
              <w:t>Section: </w:t>
            </w:r>
            <w:r>
              <w:rPr>
                <w:sz w:val="24"/>
              </w:rPr>
              <w:t>Financial Policies</w:t>
            </w:r>
          </w:p>
        </w:tc>
      </w:tr>
      <w:tr>
        <w:trPr>
          <w:trHeight w:val="287" w:hRule="atLeast"/>
        </w:trPr>
        <w:tc>
          <w:tcPr>
            <w:tcW w:w="5846" w:type="dxa"/>
          </w:tcPr>
          <w:p>
            <w:pPr>
              <w:pStyle w:val="TableParagraph"/>
              <w:rPr>
                <w:sz w:val="24"/>
              </w:rPr>
            </w:pPr>
            <w:r>
              <w:rPr>
                <w:b/>
                <w:sz w:val="24"/>
              </w:rPr>
              <w:t>Resolution: </w:t>
            </w:r>
            <w:r>
              <w:rPr>
                <w:sz w:val="24"/>
              </w:rPr>
              <w:t>98-270</w:t>
            </w:r>
          </w:p>
        </w:tc>
        <w:tc>
          <w:tcPr>
            <w:tcW w:w="3504" w:type="dxa"/>
          </w:tcPr>
          <w:p>
            <w:pPr>
              <w:pStyle w:val="TableParagraph"/>
              <w:ind w:left="105"/>
              <w:rPr>
                <w:sz w:val="24"/>
              </w:rPr>
            </w:pPr>
            <w:r>
              <w:rPr>
                <w:b/>
                <w:sz w:val="24"/>
              </w:rPr>
              <w:t>Effective Date: </w:t>
            </w:r>
            <w:r>
              <w:rPr>
                <w:sz w:val="24"/>
              </w:rPr>
              <w:t>12/08/1998</w:t>
            </w:r>
          </w:p>
        </w:tc>
      </w:tr>
      <w:tr>
        <w:trPr>
          <w:trHeight w:val="290" w:hRule="atLeast"/>
        </w:trPr>
        <w:tc>
          <w:tcPr>
            <w:tcW w:w="5846" w:type="dxa"/>
          </w:tcPr>
          <w:p>
            <w:pPr>
              <w:pStyle w:val="TableParagraph"/>
              <w:spacing w:line="269" w:lineRule="exact" w:before="1"/>
              <w:rPr>
                <w:sz w:val="24"/>
              </w:rPr>
            </w:pPr>
            <w:r>
              <w:rPr>
                <w:b/>
                <w:sz w:val="24"/>
              </w:rPr>
              <w:t>Amendments: </w:t>
            </w:r>
            <w:r>
              <w:rPr>
                <w:sz w:val="24"/>
              </w:rPr>
              <w:t>N/A</w:t>
            </w:r>
          </w:p>
        </w:tc>
        <w:tc>
          <w:tcPr>
            <w:tcW w:w="3504" w:type="dxa"/>
          </w:tcPr>
          <w:p>
            <w:pPr>
              <w:pStyle w:val="TableParagraph"/>
              <w:spacing w:line="269" w:lineRule="exact" w:before="1"/>
              <w:ind w:left="105"/>
              <w:rPr>
                <w:sz w:val="24"/>
              </w:rPr>
            </w:pPr>
            <w:r>
              <w:rPr>
                <w:b/>
                <w:sz w:val="24"/>
              </w:rPr>
              <w:t>Last Reviewed Date: </w:t>
            </w:r>
            <w:r>
              <w:rPr>
                <w:sz w:val="24"/>
              </w:rPr>
              <w:t>8/27/2026</w:t>
            </w:r>
          </w:p>
        </w:tc>
      </w:tr>
      <w:tr>
        <w:trPr>
          <w:trHeight w:val="287" w:hRule="atLeast"/>
        </w:trPr>
        <w:tc>
          <w:tcPr>
            <w:tcW w:w="5846" w:type="dxa"/>
          </w:tcPr>
          <w:p>
            <w:pPr>
              <w:pStyle w:val="TableParagraph"/>
              <w:rPr>
                <w:sz w:val="24"/>
              </w:rPr>
            </w:pPr>
            <w:r>
              <w:rPr>
                <w:b/>
                <w:sz w:val="24"/>
              </w:rPr>
              <w:t>Responsible Department: </w:t>
            </w:r>
            <w:r>
              <w:rPr>
                <w:sz w:val="24"/>
              </w:rPr>
              <w:t>Purchasing</w:t>
            </w:r>
          </w:p>
        </w:tc>
        <w:tc>
          <w:tcPr>
            <w:tcW w:w="3504" w:type="dxa"/>
          </w:tcPr>
          <w:p>
            <w:pPr>
              <w:pStyle w:val="TableParagraph"/>
              <w:ind w:left="105"/>
              <w:rPr>
                <w:sz w:val="24"/>
              </w:rPr>
            </w:pPr>
            <w:r>
              <w:rPr>
                <w:b/>
                <w:sz w:val="24"/>
              </w:rPr>
              <w:t>HiAP Review Date: </w:t>
            </w:r>
            <w:r>
              <w:rPr>
                <w:sz w:val="24"/>
              </w:rPr>
              <w:t>8/27/2026</w:t>
            </w:r>
          </w:p>
        </w:tc>
      </w:tr>
      <w:tr>
        <w:trPr>
          <w:trHeight w:val="287" w:hRule="atLeast"/>
        </w:trPr>
        <w:tc>
          <w:tcPr>
            <w:tcW w:w="9350" w:type="dxa"/>
            <w:gridSpan w:val="2"/>
          </w:tcPr>
          <w:p>
            <w:pPr>
              <w:pStyle w:val="TableParagraph"/>
              <w:rPr>
                <w:sz w:val="24"/>
              </w:rPr>
            </w:pPr>
            <w:r>
              <w:rPr>
                <w:b/>
                <w:sz w:val="24"/>
              </w:rPr>
              <w:t>Applicable to: </w:t>
            </w:r>
            <w:r>
              <w:rPr>
                <w:sz w:val="24"/>
              </w:rPr>
              <w:t>All Ingham County Departments</w:t>
            </w:r>
          </w:p>
        </w:tc>
      </w:tr>
    </w:tbl>
    <w:p>
      <w:pPr>
        <w:pStyle w:val="BodyText"/>
        <w:spacing w:before="1"/>
        <w:rPr>
          <w:b/>
          <w:sz w:val="16"/>
        </w:rPr>
      </w:pPr>
    </w:p>
    <w:p>
      <w:pPr>
        <w:pStyle w:val="Heading1"/>
        <w:numPr>
          <w:ilvl w:val="0"/>
          <w:numId w:val="2"/>
        </w:numPr>
        <w:tabs>
          <w:tab w:pos="840" w:val="left" w:leader="none"/>
        </w:tabs>
        <w:spacing w:line="240" w:lineRule="auto" w:before="90" w:after="0"/>
        <w:ind w:left="840" w:right="0" w:hanging="360"/>
        <w:jc w:val="left"/>
      </w:pPr>
      <w:r>
        <w:rPr/>
        <w:t>Purpose</w:t>
      </w:r>
    </w:p>
    <w:p>
      <w:pPr>
        <w:pStyle w:val="BodyText"/>
        <w:ind w:left="840"/>
      </w:pPr>
      <w:r>
        <w:rPr/>
        <w:t>To establish a consistent process for identifying, valuing, approving, and disposing of surplus County- owned personal property in a manner that maximizes value for the County.</w:t>
      </w:r>
    </w:p>
    <w:p>
      <w:pPr>
        <w:pStyle w:val="BodyText"/>
      </w:pPr>
    </w:p>
    <w:p>
      <w:pPr>
        <w:pStyle w:val="Heading1"/>
        <w:numPr>
          <w:ilvl w:val="0"/>
          <w:numId w:val="2"/>
        </w:numPr>
        <w:tabs>
          <w:tab w:pos="840" w:val="left" w:leader="none"/>
        </w:tabs>
        <w:spacing w:line="240" w:lineRule="auto" w:before="0" w:after="0"/>
        <w:ind w:left="840" w:right="0" w:hanging="360"/>
        <w:jc w:val="left"/>
      </w:pPr>
      <w:r>
        <w:rPr/>
        <w:t>Scope</w:t>
      </w:r>
    </w:p>
    <w:p>
      <w:pPr>
        <w:pStyle w:val="BodyText"/>
        <w:ind w:left="840" w:right="522"/>
      </w:pPr>
      <w:r>
        <w:rPr/>
        <w:t>This policy applies to all departments. It does not extend to the offices of Elected Officials unless an individual Elected Official chooses to adopt it, in whole or in part. The Board of Commissioners encourages and invites all Elected Officials to adopt the policy in its entirety.</w:t>
      </w:r>
    </w:p>
    <w:p>
      <w:pPr>
        <w:pStyle w:val="BodyText"/>
      </w:pPr>
    </w:p>
    <w:p>
      <w:pPr>
        <w:pStyle w:val="Heading1"/>
        <w:numPr>
          <w:ilvl w:val="0"/>
          <w:numId w:val="2"/>
        </w:numPr>
        <w:tabs>
          <w:tab w:pos="840" w:val="left" w:leader="none"/>
        </w:tabs>
        <w:spacing w:line="240" w:lineRule="auto" w:before="0" w:after="0"/>
        <w:ind w:left="840" w:right="0" w:hanging="360"/>
        <w:jc w:val="left"/>
      </w:pPr>
      <w:r>
        <w:rPr/>
        <w:t>Definitions</w:t>
      </w:r>
    </w:p>
    <w:p>
      <w:pPr>
        <w:pStyle w:val="BodyText"/>
        <w:ind w:left="840"/>
      </w:pPr>
      <w:r>
        <w:rPr/>
        <w:t>N/A</w:t>
      </w:r>
    </w:p>
    <w:p>
      <w:pPr>
        <w:pStyle w:val="BodyText"/>
      </w:pPr>
    </w:p>
    <w:p>
      <w:pPr>
        <w:pStyle w:val="Heading1"/>
        <w:numPr>
          <w:ilvl w:val="0"/>
          <w:numId w:val="2"/>
        </w:numPr>
        <w:tabs>
          <w:tab w:pos="840" w:val="left" w:leader="none"/>
        </w:tabs>
        <w:spacing w:line="240" w:lineRule="auto" w:before="0" w:after="0"/>
        <w:ind w:left="840" w:right="0" w:hanging="360"/>
        <w:jc w:val="left"/>
      </w:pPr>
      <w:r>
        <w:rPr/>
        <w:t>Policy</w:t>
      </w:r>
    </w:p>
    <w:p>
      <w:pPr>
        <w:pStyle w:val="BodyText"/>
        <w:ind w:left="840" w:right="655"/>
      </w:pPr>
      <w:r>
        <w:rPr/>
        <w:t>The Ingham County Board of Commissioners has deemed it necessary to sell or otherwise auction surplus County-owned personal property which is of no significant value to County operations.</w:t>
      </w:r>
    </w:p>
    <w:p>
      <w:pPr>
        <w:pStyle w:val="BodyText"/>
      </w:pPr>
    </w:p>
    <w:p>
      <w:pPr>
        <w:pStyle w:val="Heading1"/>
        <w:numPr>
          <w:ilvl w:val="0"/>
          <w:numId w:val="2"/>
        </w:numPr>
        <w:tabs>
          <w:tab w:pos="840" w:val="left" w:leader="none"/>
        </w:tabs>
        <w:spacing w:line="240" w:lineRule="auto" w:before="0" w:after="0"/>
        <w:ind w:left="840" w:right="0" w:hanging="360"/>
        <w:jc w:val="left"/>
      </w:pPr>
      <w:r>
        <w:rPr/>
        <w:t>Responsibilities</w:t>
      </w:r>
    </w:p>
    <w:p>
      <w:pPr>
        <w:pStyle w:val="BodyText"/>
        <w:ind w:left="840" w:right="162"/>
      </w:pPr>
      <w:r>
        <w:rPr/>
        <w:t>The Purchasing Director or their designee is accountable for administering, implementing, and periodically reviewing this policy in collaboration with the Health in All Policies (HiAP) Committee. Supervisors are responsible for ensuring compliance with this policy within their areas of responsibility. Employees are responsible for complying with this policy and all related procedures.</w:t>
      </w:r>
    </w:p>
    <w:p>
      <w:pPr>
        <w:pStyle w:val="BodyText"/>
      </w:pPr>
    </w:p>
    <w:p>
      <w:pPr>
        <w:pStyle w:val="Heading1"/>
        <w:numPr>
          <w:ilvl w:val="0"/>
          <w:numId w:val="2"/>
        </w:numPr>
        <w:tabs>
          <w:tab w:pos="840" w:val="left" w:leader="none"/>
        </w:tabs>
        <w:spacing w:line="240" w:lineRule="auto" w:before="0" w:after="0"/>
        <w:ind w:left="840" w:right="0" w:hanging="360"/>
        <w:jc w:val="left"/>
      </w:pPr>
      <w:r>
        <w:rPr/>
        <w:t>Procedures</w:t>
      </w:r>
    </w:p>
    <w:p>
      <w:pPr>
        <w:pStyle w:val="ListParagraph"/>
        <w:numPr>
          <w:ilvl w:val="1"/>
          <w:numId w:val="2"/>
        </w:numPr>
        <w:tabs>
          <w:tab w:pos="1560" w:val="left" w:leader="none"/>
        </w:tabs>
        <w:spacing w:line="240" w:lineRule="auto" w:before="0" w:after="0"/>
        <w:ind w:left="1560" w:right="0" w:hanging="360"/>
        <w:jc w:val="left"/>
        <w:rPr>
          <w:sz w:val="24"/>
        </w:rPr>
      </w:pPr>
      <w:r>
        <w:rPr>
          <w:sz w:val="24"/>
        </w:rPr>
        <w:t>Determination</w:t>
      </w:r>
    </w:p>
    <w:p>
      <w:pPr>
        <w:pStyle w:val="ListParagraph"/>
        <w:numPr>
          <w:ilvl w:val="2"/>
          <w:numId w:val="2"/>
        </w:numPr>
        <w:tabs>
          <w:tab w:pos="2280" w:val="left" w:leader="none"/>
        </w:tabs>
        <w:spacing w:line="240" w:lineRule="auto" w:before="0" w:after="0"/>
        <w:ind w:left="2280" w:right="753" w:hanging="308"/>
        <w:jc w:val="left"/>
        <w:rPr>
          <w:sz w:val="24"/>
        </w:rPr>
      </w:pPr>
      <w:r>
        <w:rPr>
          <w:sz w:val="24"/>
        </w:rPr>
        <w:t>Departments with surplus items to be disposed of shall advise the Purchasing Director that they have such items. If such items are electronics, the IT</w:t>
      </w:r>
      <w:r>
        <w:rPr>
          <w:spacing w:val="-28"/>
          <w:sz w:val="24"/>
        </w:rPr>
        <w:t> </w:t>
      </w:r>
      <w:r>
        <w:rPr>
          <w:sz w:val="24"/>
        </w:rPr>
        <w:t>Department shall be consulted before any action by the Purchasing Department can be</w:t>
      </w:r>
      <w:r>
        <w:rPr>
          <w:spacing w:val="-16"/>
          <w:sz w:val="24"/>
        </w:rPr>
        <w:t> </w:t>
      </w:r>
      <w:r>
        <w:rPr>
          <w:sz w:val="24"/>
        </w:rPr>
        <w:t>taken.</w:t>
      </w:r>
    </w:p>
    <w:p>
      <w:pPr>
        <w:pStyle w:val="ListParagraph"/>
        <w:numPr>
          <w:ilvl w:val="2"/>
          <w:numId w:val="2"/>
        </w:numPr>
        <w:tabs>
          <w:tab w:pos="2280" w:val="left" w:leader="none"/>
        </w:tabs>
        <w:spacing w:line="240" w:lineRule="auto" w:before="0" w:after="0"/>
        <w:ind w:left="2280" w:right="844" w:hanging="375"/>
        <w:jc w:val="left"/>
        <w:rPr>
          <w:sz w:val="24"/>
        </w:rPr>
      </w:pPr>
      <w:r>
        <w:rPr>
          <w:sz w:val="24"/>
        </w:rPr>
        <w:t>The Purchasing Director will periodically dispose of such items through public auction, subject to a list of said items presented to the Controller, County Services Committee, Finance Committee, and Board of Commissioners for their</w:t>
      </w:r>
      <w:r>
        <w:rPr>
          <w:spacing w:val="-15"/>
          <w:sz w:val="24"/>
        </w:rPr>
        <w:t> </w:t>
      </w:r>
      <w:r>
        <w:rPr>
          <w:sz w:val="24"/>
        </w:rPr>
        <w:t>approvals.</w:t>
      </w:r>
    </w:p>
    <w:p>
      <w:pPr>
        <w:pStyle w:val="ListParagraph"/>
        <w:numPr>
          <w:ilvl w:val="1"/>
          <w:numId w:val="2"/>
        </w:numPr>
        <w:tabs>
          <w:tab w:pos="1560" w:val="left" w:leader="none"/>
        </w:tabs>
        <w:spacing w:line="240" w:lineRule="auto" w:before="1" w:after="0"/>
        <w:ind w:left="1560" w:right="0" w:hanging="360"/>
        <w:jc w:val="left"/>
        <w:rPr>
          <w:sz w:val="24"/>
        </w:rPr>
      </w:pPr>
      <w:r>
        <w:rPr>
          <w:sz w:val="24"/>
        </w:rPr>
        <w:t>Valuation</w:t>
      </w:r>
    </w:p>
    <w:p>
      <w:pPr>
        <w:pStyle w:val="ListParagraph"/>
        <w:numPr>
          <w:ilvl w:val="2"/>
          <w:numId w:val="2"/>
        </w:numPr>
        <w:tabs>
          <w:tab w:pos="2280" w:val="left" w:leader="none"/>
        </w:tabs>
        <w:spacing w:line="240" w:lineRule="auto" w:before="0" w:after="0"/>
        <w:ind w:left="2280" w:right="263" w:hanging="308"/>
        <w:jc w:val="left"/>
        <w:rPr>
          <w:sz w:val="24"/>
        </w:rPr>
      </w:pPr>
      <w:r>
        <w:rPr>
          <w:sz w:val="24"/>
        </w:rPr>
        <w:t>No surplus County-owned personal property shall be offered for sale, auction or other disposition without prior review of the Purchasing Director for estimation of value and statement of non-utility by department heads, agency directors, etc., or their</w:t>
      </w:r>
      <w:r>
        <w:rPr>
          <w:spacing w:val="-38"/>
          <w:sz w:val="24"/>
        </w:rPr>
        <w:t> </w:t>
      </w:r>
      <w:r>
        <w:rPr>
          <w:sz w:val="24"/>
        </w:rPr>
        <w:t>designee(s).</w:t>
      </w:r>
    </w:p>
    <w:p>
      <w:pPr>
        <w:pStyle w:val="ListParagraph"/>
        <w:numPr>
          <w:ilvl w:val="2"/>
          <w:numId w:val="2"/>
        </w:numPr>
        <w:tabs>
          <w:tab w:pos="2280" w:val="left" w:leader="none"/>
        </w:tabs>
        <w:spacing w:line="240" w:lineRule="auto" w:before="0" w:after="0"/>
        <w:ind w:left="2279" w:right="354" w:hanging="375"/>
        <w:jc w:val="left"/>
        <w:rPr>
          <w:sz w:val="24"/>
        </w:rPr>
      </w:pPr>
      <w:r>
        <w:rPr>
          <w:sz w:val="24"/>
        </w:rPr>
        <w:t>A list of proposed items for auction or to be otherwise disposed of shall be presented</w:t>
      </w:r>
      <w:r>
        <w:rPr>
          <w:spacing w:val="-17"/>
          <w:sz w:val="24"/>
        </w:rPr>
        <w:t> </w:t>
      </w:r>
      <w:r>
        <w:rPr>
          <w:sz w:val="24"/>
        </w:rPr>
        <w:t>to the Board of Commissioners whereupon final approval of the list shall be deemed as authorization to proceed with sale, auction or other</w:t>
      </w:r>
      <w:r>
        <w:rPr>
          <w:spacing w:val="-2"/>
          <w:sz w:val="24"/>
        </w:rPr>
        <w:t> </w:t>
      </w:r>
      <w:r>
        <w:rPr>
          <w:sz w:val="24"/>
        </w:rPr>
        <w:t>disposition.</w:t>
      </w:r>
    </w:p>
    <w:p>
      <w:pPr>
        <w:pStyle w:val="ListParagraph"/>
        <w:numPr>
          <w:ilvl w:val="1"/>
          <w:numId w:val="2"/>
        </w:numPr>
        <w:tabs>
          <w:tab w:pos="1560" w:val="left" w:leader="none"/>
        </w:tabs>
        <w:spacing w:line="240" w:lineRule="auto" w:before="0" w:after="0"/>
        <w:ind w:left="1560" w:right="0" w:hanging="361"/>
        <w:jc w:val="left"/>
        <w:rPr>
          <w:sz w:val="24"/>
        </w:rPr>
      </w:pPr>
      <w:r>
        <w:rPr>
          <w:sz w:val="24"/>
        </w:rPr>
        <w:t>Public</w:t>
      </w:r>
      <w:r>
        <w:rPr>
          <w:spacing w:val="-5"/>
          <w:sz w:val="24"/>
        </w:rPr>
        <w:t> </w:t>
      </w:r>
      <w:r>
        <w:rPr>
          <w:sz w:val="24"/>
        </w:rPr>
        <w:t>Auction</w:t>
      </w:r>
    </w:p>
    <w:p>
      <w:pPr>
        <w:pStyle w:val="ListParagraph"/>
        <w:numPr>
          <w:ilvl w:val="2"/>
          <w:numId w:val="2"/>
        </w:numPr>
        <w:tabs>
          <w:tab w:pos="2280" w:val="left" w:leader="none"/>
        </w:tabs>
        <w:spacing w:line="240" w:lineRule="auto" w:before="0" w:after="0"/>
        <w:ind w:left="2279" w:right="130" w:hanging="308"/>
        <w:jc w:val="left"/>
        <w:rPr>
          <w:sz w:val="24"/>
        </w:rPr>
      </w:pPr>
      <w:r>
        <w:rPr>
          <w:sz w:val="24"/>
        </w:rPr>
        <w:t>Public notice shall be given of any and all auctions to be held for the purpose of selling</w:t>
      </w:r>
      <w:r>
        <w:rPr>
          <w:spacing w:val="-34"/>
          <w:sz w:val="24"/>
        </w:rPr>
        <w:t> </w:t>
      </w:r>
      <w:r>
        <w:rPr>
          <w:sz w:val="24"/>
        </w:rPr>
        <w:t>or otherwise disposing of County-owned surplus personal</w:t>
      </w:r>
      <w:r>
        <w:rPr>
          <w:spacing w:val="-12"/>
          <w:sz w:val="24"/>
        </w:rPr>
        <w:t> </w:t>
      </w:r>
      <w:r>
        <w:rPr>
          <w:sz w:val="24"/>
        </w:rPr>
        <w:t>property.</w:t>
      </w:r>
    </w:p>
    <w:p>
      <w:pPr>
        <w:pStyle w:val="ListParagraph"/>
        <w:numPr>
          <w:ilvl w:val="2"/>
          <w:numId w:val="2"/>
        </w:numPr>
        <w:tabs>
          <w:tab w:pos="2280" w:val="left" w:leader="none"/>
        </w:tabs>
        <w:spacing w:line="240" w:lineRule="auto" w:before="0" w:after="0"/>
        <w:ind w:left="2279" w:right="429" w:hanging="375"/>
        <w:jc w:val="left"/>
        <w:rPr>
          <w:sz w:val="24"/>
        </w:rPr>
      </w:pPr>
      <w:r>
        <w:rPr>
          <w:sz w:val="24"/>
        </w:rPr>
        <w:t>Except for sales to other units of government or to non-profit corporations, the County objective shall be to maximize the net proceeds from the</w:t>
      </w:r>
      <w:r>
        <w:rPr>
          <w:spacing w:val="-15"/>
          <w:sz w:val="24"/>
        </w:rPr>
        <w:t> </w:t>
      </w:r>
      <w:r>
        <w:rPr>
          <w:sz w:val="24"/>
        </w:rPr>
        <w:t>distribution.</w:t>
      </w:r>
    </w:p>
    <w:p>
      <w:pPr>
        <w:spacing w:after="0" w:line="240" w:lineRule="auto"/>
        <w:jc w:val="left"/>
        <w:rPr>
          <w:sz w:val="24"/>
        </w:rPr>
        <w:sectPr>
          <w:pgSz w:w="12240" w:h="15840"/>
          <w:pgMar w:top="1440" w:bottom="280" w:left="600" w:right="620"/>
        </w:sectPr>
      </w:pPr>
    </w:p>
    <w:p>
      <w:pPr>
        <w:pStyle w:val="ListParagraph"/>
        <w:numPr>
          <w:ilvl w:val="2"/>
          <w:numId w:val="2"/>
        </w:numPr>
        <w:tabs>
          <w:tab w:pos="2280" w:val="left" w:leader="none"/>
        </w:tabs>
        <w:spacing w:line="240" w:lineRule="auto" w:before="79" w:after="0"/>
        <w:ind w:left="2280" w:right="453" w:hanging="440"/>
        <w:jc w:val="left"/>
        <w:rPr>
          <w:sz w:val="24"/>
        </w:rPr>
      </w:pPr>
      <w:r>
        <w:rPr>
          <w:sz w:val="24"/>
        </w:rPr>
        <w:t>No member of the Board of Commissioners shall purchase any surplus</w:t>
      </w:r>
      <w:r>
        <w:rPr>
          <w:spacing w:val="-17"/>
          <w:sz w:val="24"/>
        </w:rPr>
        <w:t> </w:t>
      </w:r>
      <w:r>
        <w:rPr>
          <w:sz w:val="24"/>
        </w:rPr>
        <w:t>County-owned personal</w:t>
      </w:r>
      <w:r>
        <w:rPr>
          <w:spacing w:val="-1"/>
          <w:sz w:val="24"/>
        </w:rPr>
        <w:t> </w:t>
      </w:r>
      <w:r>
        <w:rPr>
          <w:sz w:val="24"/>
        </w:rPr>
        <w:t>property.</w:t>
      </w:r>
    </w:p>
    <w:p>
      <w:pPr>
        <w:pStyle w:val="ListParagraph"/>
        <w:numPr>
          <w:ilvl w:val="2"/>
          <w:numId w:val="2"/>
        </w:numPr>
        <w:tabs>
          <w:tab w:pos="2280" w:val="left" w:leader="none"/>
        </w:tabs>
        <w:spacing w:line="240" w:lineRule="auto" w:before="0" w:after="0"/>
        <w:ind w:left="2280" w:right="720" w:hanging="428"/>
        <w:jc w:val="left"/>
        <w:rPr>
          <w:sz w:val="24"/>
        </w:rPr>
      </w:pPr>
      <w:r>
        <w:rPr>
          <w:sz w:val="24"/>
        </w:rPr>
        <w:t>Immediate relatives or business associates of County Commissioners may</w:t>
      </w:r>
      <w:r>
        <w:rPr>
          <w:spacing w:val="-21"/>
          <w:sz w:val="24"/>
        </w:rPr>
        <w:t> </w:t>
      </w:r>
      <w:r>
        <w:rPr>
          <w:sz w:val="24"/>
        </w:rPr>
        <w:t>purchase property from the County only at public</w:t>
      </w:r>
      <w:r>
        <w:rPr>
          <w:spacing w:val="-27"/>
          <w:sz w:val="24"/>
        </w:rPr>
        <w:t> </w:t>
      </w:r>
      <w:r>
        <w:rPr>
          <w:sz w:val="24"/>
        </w:rPr>
        <w:t>auction.</w:t>
      </w:r>
    </w:p>
    <w:p>
      <w:pPr>
        <w:pStyle w:val="BodyText"/>
      </w:pPr>
    </w:p>
    <w:p>
      <w:pPr>
        <w:pStyle w:val="ListParagraph"/>
        <w:numPr>
          <w:ilvl w:val="1"/>
          <w:numId w:val="2"/>
        </w:numPr>
        <w:tabs>
          <w:tab w:pos="1560" w:val="left" w:leader="none"/>
        </w:tabs>
        <w:spacing w:line="240" w:lineRule="auto" w:before="0" w:after="0"/>
        <w:ind w:left="1560" w:right="0" w:hanging="361"/>
        <w:jc w:val="left"/>
        <w:rPr>
          <w:sz w:val="24"/>
        </w:rPr>
      </w:pPr>
      <w:r>
        <w:rPr>
          <w:sz w:val="24"/>
        </w:rPr>
        <w:t>Unsold Surplus</w:t>
      </w:r>
      <w:r>
        <w:rPr>
          <w:spacing w:val="-4"/>
          <w:sz w:val="24"/>
        </w:rPr>
        <w:t> </w:t>
      </w:r>
      <w:r>
        <w:rPr>
          <w:sz w:val="24"/>
        </w:rPr>
        <w:t>Equipment</w:t>
      </w:r>
    </w:p>
    <w:p>
      <w:pPr>
        <w:pStyle w:val="ListParagraph"/>
        <w:numPr>
          <w:ilvl w:val="2"/>
          <w:numId w:val="2"/>
        </w:numPr>
        <w:tabs>
          <w:tab w:pos="2280" w:val="left" w:leader="none"/>
        </w:tabs>
        <w:spacing w:line="240" w:lineRule="auto" w:before="0" w:after="0"/>
        <w:ind w:left="2280" w:right="131" w:hanging="308"/>
        <w:jc w:val="left"/>
        <w:rPr>
          <w:sz w:val="24"/>
        </w:rPr>
      </w:pPr>
      <w:r>
        <w:rPr>
          <w:sz w:val="24"/>
        </w:rPr>
        <w:t>All unsold surplus electronic equipment shall be disposed of in an</w:t>
      </w:r>
      <w:r>
        <w:rPr>
          <w:spacing w:val="-28"/>
          <w:sz w:val="24"/>
        </w:rPr>
        <w:t> </w:t>
      </w:r>
      <w:r>
        <w:rPr>
          <w:sz w:val="24"/>
        </w:rPr>
        <w:t>environmentally-sound manner.</w:t>
      </w:r>
    </w:p>
    <w:p>
      <w:pPr>
        <w:pStyle w:val="ListParagraph"/>
        <w:numPr>
          <w:ilvl w:val="2"/>
          <w:numId w:val="2"/>
        </w:numPr>
        <w:tabs>
          <w:tab w:pos="2280" w:val="left" w:leader="none"/>
        </w:tabs>
        <w:spacing w:line="240" w:lineRule="auto" w:before="0" w:after="0"/>
        <w:ind w:left="2280" w:right="0" w:hanging="375"/>
        <w:jc w:val="left"/>
        <w:rPr>
          <w:sz w:val="24"/>
        </w:rPr>
      </w:pPr>
      <w:r>
        <w:rPr>
          <w:sz w:val="24"/>
        </w:rPr>
        <w:t>Recoverable assets and recycling fees shall be determined at the time of</w:t>
      </w:r>
      <w:r>
        <w:rPr>
          <w:spacing w:val="-20"/>
          <w:sz w:val="24"/>
        </w:rPr>
        <w:t> </w:t>
      </w:r>
      <w:r>
        <w:rPr>
          <w:sz w:val="24"/>
        </w:rPr>
        <w:t>removal.</w:t>
      </w:r>
    </w:p>
    <w:p>
      <w:pPr>
        <w:pStyle w:val="ListParagraph"/>
        <w:numPr>
          <w:ilvl w:val="2"/>
          <w:numId w:val="2"/>
        </w:numPr>
        <w:tabs>
          <w:tab w:pos="2280" w:val="left" w:leader="none"/>
        </w:tabs>
        <w:spacing w:line="240" w:lineRule="auto" w:before="0" w:after="0"/>
        <w:ind w:left="2279" w:right="608" w:hanging="440"/>
        <w:jc w:val="left"/>
        <w:rPr>
          <w:sz w:val="24"/>
        </w:rPr>
      </w:pPr>
      <w:r>
        <w:rPr>
          <w:sz w:val="24"/>
        </w:rPr>
        <w:t>Certificates of data deletion, recycling/reuse and destruction documentation shall be provided by vendors providing surplus electronic recycling services to the County,</w:t>
      </w:r>
      <w:r>
        <w:rPr>
          <w:spacing w:val="-33"/>
          <w:sz w:val="24"/>
        </w:rPr>
        <w:t> </w:t>
      </w:r>
      <w:r>
        <w:rPr>
          <w:sz w:val="24"/>
        </w:rPr>
        <w:t>if applicable.</w:t>
      </w:r>
    </w:p>
    <w:p>
      <w:pPr>
        <w:pStyle w:val="ListParagraph"/>
        <w:numPr>
          <w:ilvl w:val="2"/>
          <w:numId w:val="2"/>
        </w:numPr>
        <w:tabs>
          <w:tab w:pos="2280" w:val="left" w:leader="none"/>
        </w:tabs>
        <w:spacing w:line="240" w:lineRule="auto" w:before="0" w:after="0"/>
        <w:ind w:left="2280" w:right="0" w:hanging="428"/>
        <w:jc w:val="left"/>
        <w:rPr>
          <w:sz w:val="24"/>
        </w:rPr>
      </w:pPr>
      <w:r>
        <w:rPr>
          <w:sz w:val="24"/>
        </w:rPr>
        <w:t>Purchasing Director shall coordinate the disposal of all other unsold</w:t>
      </w:r>
      <w:r>
        <w:rPr>
          <w:spacing w:val="-8"/>
          <w:sz w:val="24"/>
        </w:rPr>
        <w:t> </w:t>
      </w:r>
      <w:r>
        <w:rPr>
          <w:sz w:val="24"/>
        </w:rPr>
        <w:t>items.</w:t>
      </w:r>
    </w:p>
    <w:p>
      <w:pPr>
        <w:pStyle w:val="BodyText"/>
      </w:pPr>
    </w:p>
    <w:p>
      <w:pPr>
        <w:pStyle w:val="Heading1"/>
        <w:numPr>
          <w:ilvl w:val="0"/>
          <w:numId w:val="2"/>
        </w:numPr>
        <w:tabs>
          <w:tab w:pos="840" w:val="left" w:leader="none"/>
        </w:tabs>
        <w:spacing w:line="240" w:lineRule="auto" w:before="0" w:after="0"/>
        <w:ind w:left="840" w:right="0" w:hanging="361"/>
        <w:jc w:val="left"/>
      </w:pPr>
      <w:r>
        <w:rPr/>
        <w:t>Related Policies and/or</w:t>
      </w:r>
      <w:r>
        <w:rPr>
          <w:spacing w:val="1"/>
        </w:rPr>
        <w:t> </w:t>
      </w:r>
      <w:r>
        <w:rPr/>
        <w:t>Procedures</w:t>
      </w:r>
    </w:p>
    <w:p>
      <w:pPr>
        <w:pStyle w:val="BodyText"/>
        <w:ind w:left="839"/>
      </w:pPr>
      <w:r>
        <w:rPr/>
        <w:t>N/A</w:t>
      </w:r>
    </w:p>
    <w:p>
      <w:pPr>
        <w:pStyle w:val="BodyText"/>
      </w:pPr>
    </w:p>
    <w:p>
      <w:pPr>
        <w:pStyle w:val="Heading1"/>
        <w:numPr>
          <w:ilvl w:val="0"/>
          <w:numId w:val="2"/>
        </w:numPr>
        <w:tabs>
          <w:tab w:pos="840" w:val="left" w:leader="none"/>
        </w:tabs>
        <w:spacing w:line="240" w:lineRule="auto" w:before="0" w:after="0"/>
        <w:ind w:left="840" w:right="0" w:hanging="361"/>
        <w:jc w:val="left"/>
      </w:pPr>
      <w:r>
        <w:rPr/>
        <w:t>References/Attachments</w:t>
      </w:r>
    </w:p>
    <w:p>
      <w:pPr>
        <w:pStyle w:val="BodyText"/>
        <w:ind w:left="839"/>
      </w:pPr>
      <w:r>
        <w:rPr/>
        <w:t>N/A</w:t>
      </w:r>
    </w:p>
    <w:p>
      <w:pPr>
        <w:pStyle w:val="BodyText"/>
      </w:pPr>
    </w:p>
    <w:p>
      <w:pPr>
        <w:pStyle w:val="Heading1"/>
        <w:numPr>
          <w:ilvl w:val="0"/>
          <w:numId w:val="2"/>
        </w:numPr>
        <w:tabs>
          <w:tab w:pos="839" w:val="left" w:leader="none"/>
          <w:tab w:pos="840" w:val="left" w:leader="none"/>
        </w:tabs>
        <w:spacing w:line="240" w:lineRule="auto" w:before="0" w:after="0"/>
        <w:ind w:left="840" w:right="0" w:hanging="361"/>
        <w:jc w:val="left"/>
      </w:pPr>
      <w:r>
        <w:rPr/>
        <w:t>Compliance</w:t>
      </w:r>
      <w:r>
        <w:rPr>
          <w:spacing w:val="-2"/>
        </w:rPr>
        <w:t> </w:t>
      </w:r>
      <w:r>
        <w:rPr/>
        <w:t>Monitoring</w:t>
      </w:r>
    </w:p>
    <w:p>
      <w:pPr>
        <w:pStyle w:val="BodyText"/>
        <w:ind w:left="839" w:right="703"/>
      </w:pPr>
      <w:r>
        <w:rPr/>
        <w:t>The responsible department verifies compliance with this policy through documentation, reporting requirements, internal review processes, and corrective action procedures as applicable.</w:t>
      </w:r>
    </w:p>
    <w:p>
      <w:pPr>
        <w:pStyle w:val="BodyText"/>
      </w:pPr>
    </w:p>
    <w:p>
      <w:pPr>
        <w:pStyle w:val="Heading1"/>
        <w:numPr>
          <w:ilvl w:val="0"/>
          <w:numId w:val="2"/>
        </w:numPr>
        <w:tabs>
          <w:tab w:pos="840" w:val="left" w:leader="none"/>
        </w:tabs>
        <w:spacing w:line="240" w:lineRule="auto" w:before="0" w:after="0"/>
        <w:ind w:left="840" w:right="0" w:hanging="361"/>
        <w:jc w:val="left"/>
      </w:pPr>
      <w:r>
        <w:rPr/>
        <w:t>Policy Review and Evaluation</w:t>
      </w:r>
    </w:p>
    <w:p>
      <w:pPr>
        <w:pStyle w:val="BodyText"/>
        <w:ind w:left="839" w:right="317"/>
      </w:pPr>
      <w:r>
        <w:rPr/>
        <w:t>The HiAP Committee conducts an annual review of this policy to assess impact, implementation effectiveness, and alignment with County priorities. Recommendations for refinement are advanced as needed.</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upperLetter"/>
      <w:lvlText w:val="%1."/>
      <w:lvlJc w:val="left"/>
      <w:pPr>
        <w:ind w:left="840" w:hanging="360"/>
        <w:jc w:val="left"/>
      </w:pPr>
      <w:rPr>
        <w:rFonts w:hint="default" w:ascii="Times New Roman" w:hAnsi="Times New Roman" w:eastAsia="Times New Roman" w:cs="Times New Roman"/>
        <w:b/>
        <w:bCs/>
        <w:spacing w:val="-3"/>
        <w:w w:val="100"/>
        <w:sz w:val="24"/>
        <w:szCs w:val="24"/>
      </w:rPr>
    </w:lvl>
    <w:lvl w:ilvl="1">
      <w:start w:val="1"/>
      <w:numFmt w:val="decimal"/>
      <w:lvlText w:val="%2."/>
      <w:lvlJc w:val="left"/>
      <w:pPr>
        <w:ind w:left="1560" w:hanging="360"/>
        <w:jc w:val="left"/>
      </w:pPr>
      <w:rPr>
        <w:rFonts w:hint="default" w:ascii="Times New Roman" w:hAnsi="Times New Roman" w:eastAsia="Times New Roman" w:cs="Times New Roman"/>
        <w:spacing w:val="-1"/>
        <w:w w:val="100"/>
        <w:sz w:val="24"/>
        <w:szCs w:val="24"/>
      </w:rPr>
    </w:lvl>
    <w:lvl w:ilvl="2">
      <w:start w:val="1"/>
      <w:numFmt w:val="lowerRoman"/>
      <w:lvlText w:val="%3."/>
      <w:lvlJc w:val="left"/>
      <w:pPr>
        <w:ind w:left="2280" w:hanging="308"/>
        <w:jc w:val="right"/>
      </w:pPr>
      <w:rPr>
        <w:rFonts w:hint="default" w:ascii="Times New Roman" w:hAnsi="Times New Roman" w:eastAsia="Times New Roman" w:cs="Times New Roman"/>
        <w:spacing w:val="-8"/>
        <w:w w:val="100"/>
        <w:sz w:val="24"/>
        <w:szCs w:val="24"/>
      </w:rPr>
    </w:lvl>
    <w:lvl w:ilvl="3">
      <w:start w:val="0"/>
      <w:numFmt w:val="bullet"/>
      <w:lvlText w:val="•"/>
      <w:lvlJc w:val="left"/>
      <w:pPr>
        <w:ind w:left="3372" w:hanging="308"/>
      </w:pPr>
      <w:rPr>
        <w:rFonts w:hint="default"/>
      </w:rPr>
    </w:lvl>
    <w:lvl w:ilvl="4">
      <w:start w:val="0"/>
      <w:numFmt w:val="bullet"/>
      <w:lvlText w:val="•"/>
      <w:lvlJc w:val="left"/>
      <w:pPr>
        <w:ind w:left="4465" w:hanging="308"/>
      </w:pPr>
      <w:rPr>
        <w:rFonts w:hint="default"/>
      </w:rPr>
    </w:lvl>
    <w:lvl w:ilvl="5">
      <w:start w:val="0"/>
      <w:numFmt w:val="bullet"/>
      <w:lvlText w:val="•"/>
      <w:lvlJc w:val="left"/>
      <w:pPr>
        <w:ind w:left="5557" w:hanging="308"/>
      </w:pPr>
      <w:rPr>
        <w:rFonts w:hint="default"/>
      </w:rPr>
    </w:lvl>
    <w:lvl w:ilvl="6">
      <w:start w:val="0"/>
      <w:numFmt w:val="bullet"/>
      <w:lvlText w:val="•"/>
      <w:lvlJc w:val="left"/>
      <w:pPr>
        <w:ind w:left="6650" w:hanging="308"/>
      </w:pPr>
      <w:rPr>
        <w:rFonts w:hint="default"/>
      </w:rPr>
    </w:lvl>
    <w:lvl w:ilvl="7">
      <w:start w:val="0"/>
      <w:numFmt w:val="bullet"/>
      <w:lvlText w:val="•"/>
      <w:lvlJc w:val="left"/>
      <w:pPr>
        <w:ind w:left="7742" w:hanging="308"/>
      </w:pPr>
      <w:rPr>
        <w:rFonts w:hint="default"/>
      </w:rPr>
    </w:lvl>
    <w:lvl w:ilvl="8">
      <w:start w:val="0"/>
      <w:numFmt w:val="bullet"/>
      <w:lvlText w:val="•"/>
      <w:lvlJc w:val="left"/>
      <w:pPr>
        <w:ind w:left="8835" w:hanging="308"/>
      </w:pPr>
      <w:rPr>
        <w:rFonts w:hint="default"/>
      </w:rPr>
    </w:lvl>
  </w:abstractNum>
  <w:abstractNum w:abstractNumId="0">
    <w:multiLevelType w:val="hybridMultilevel"/>
    <w:lvl w:ilvl="0">
      <w:start w:val="0"/>
      <w:numFmt w:val="bullet"/>
      <w:lvlText w:val=""/>
      <w:lvlJc w:val="left"/>
      <w:pPr>
        <w:ind w:left="900" w:hanging="360"/>
      </w:pPr>
      <w:rPr>
        <w:rFonts w:hint="default" w:ascii="Symbol" w:hAnsi="Symbol" w:eastAsia="Symbol" w:cs="Symbol"/>
        <w:w w:val="100"/>
        <w:sz w:val="24"/>
        <w:szCs w:val="24"/>
      </w:rPr>
    </w:lvl>
    <w:lvl w:ilvl="1">
      <w:start w:val="0"/>
      <w:numFmt w:val="bullet"/>
      <w:lvlText w:val="•"/>
      <w:lvlJc w:val="left"/>
      <w:pPr>
        <w:ind w:left="1912" w:hanging="360"/>
      </w:pPr>
      <w:rPr>
        <w:rFonts w:hint="default"/>
      </w:rPr>
    </w:lvl>
    <w:lvl w:ilvl="2">
      <w:start w:val="0"/>
      <w:numFmt w:val="bullet"/>
      <w:lvlText w:val="•"/>
      <w:lvlJc w:val="left"/>
      <w:pPr>
        <w:ind w:left="2924" w:hanging="360"/>
      </w:pPr>
      <w:rPr>
        <w:rFonts w:hint="default"/>
      </w:rPr>
    </w:lvl>
    <w:lvl w:ilvl="3">
      <w:start w:val="0"/>
      <w:numFmt w:val="bullet"/>
      <w:lvlText w:val="•"/>
      <w:lvlJc w:val="left"/>
      <w:pPr>
        <w:ind w:left="3936" w:hanging="360"/>
      </w:pPr>
      <w:rPr>
        <w:rFonts w:hint="default"/>
      </w:rPr>
    </w:lvl>
    <w:lvl w:ilvl="4">
      <w:start w:val="0"/>
      <w:numFmt w:val="bullet"/>
      <w:lvlText w:val="•"/>
      <w:lvlJc w:val="left"/>
      <w:pPr>
        <w:ind w:left="4948" w:hanging="360"/>
      </w:pPr>
      <w:rPr>
        <w:rFonts w:hint="default"/>
      </w:rPr>
    </w:lvl>
    <w:lvl w:ilvl="5">
      <w:start w:val="0"/>
      <w:numFmt w:val="bullet"/>
      <w:lvlText w:val="•"/>
      <w:lvlJc w:val="left"/>
      <w:pPr>
        <w:ind w:left="5960" w:hanging="360"/>
      </w:pPr>
      <w:rPr>
        <w:rFonts w:hint="default"/>
      </w:rPr>
    </w:lvl>
    <w:lvl w:ilvl="6">
      <w:start w:val="0"/>
      <w:numFmt w:val="bullet"/>
      <w:lvlText w:val="•"/>
      <w:lvlJc w:val="left"/>
      <w:pPr>
        <w:ind w:left="6972" w:hanging="360"/>
      </w:pPr>
      <w:rPr>
        <w:rFonts w:hint="default"/>
      </w:rPr>
    </w:lvl>
    <w:lvl w:ilvl="7">
      <w:start w:val="0"/>
      <w:numFmt w:val="bullet"/>
      <w:lvlText w:val="•"/>
      <w:lvlJc w:val="left"/>
      <w:pPr>
        <w:ind w:left="7984" w:hanging="360"/>
      </w:pPr>
      <w:rPr>
        <w:rFonts w:hint="default"/>
      </w:rPr>
    </w:lvl>
    <w:lvl w:ilvl="8">
      <w:start w:val="0"/>
      <w:numFmt w:val="bullet"/>
      <w:lvlText w:val="•"/>
      <w:lvlJc w:val="left"/>
      <w:pPr>
        <w:ind w:left="8996" w:hanging="360"/>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840" w:hanging="360"/>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840" w:hanging="360"/>
    </w:pPr>
    <w:rPr>
      <w:rFonts w:ascii="Times New Roman" w:hAnsi="Times New Roman" w:eastAsia="Times New Roman" w:cs="Times New Roman"/>
    </w:rPr>
  </w:style>
  <w:style w:styleId="TableParagraph" w:type="paragraph">
    <w:name w:val="Table Paragraph"/>
    <w:basedOn w:val="Normal"/>
    <w:uiPriority w:val="1"/>
    <w:qFormat/>
    <w:pPr>
      <w:spacing w:line="268" w:lineRule="exact"/>
      <w:ind w:left="107"/>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2026-10-28T18:53:15Z</dcterms:created>
  <dcterms:modified xsi:type="dcterms:W3CDTF">2026-10-28T18:53:15Z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